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015 / 2026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Gemeinde Kirchlengern, geschlossene Kanalsanierung 2026/2027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Gemeinde Kirchlengern saniert Hauptkanäle in geschlossener Bauweise mit
Renovationsverfahren.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